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26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09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О внесении изменений в постановление Правительства Ульяновской области от 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>01.06.2015 № 244-П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сентяб</w:t>
      </w:r>
      <w:r>
        <w:rPr>
          <w:rFonts w:ascii="PT Astra Serif" w:hAnsi="PT Astra Serif"/>
          <w:sz w:val="28"/>
          <w:szCs w:val="28"/>
          <w:lang w:val="ru-RU"/>
        </w:rPr>
        <w:t xml:space="preserve">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Ульяновской области от 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01.06.2015 № 244-П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Проект разработан предлагается внести изменения в постановление Правительства Ульяновской области 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 xml:space="preserve">от 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01.06.2015 № 244-П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 xml:space="preserve"> «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 xml:space="preserve">», 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в части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zh-CN"/>
        </w:rPr>
        <w:t xml:space="preserve"> уточнения технического характера в понятийный аппарат, направления затрат, подлежащих возмещению за счёт субсидий, требования к хозяйствующим субъектам, претендующим на получение субсидий, перечень документов для получения субсидий в целях однозначного толкования правовых норм, регулирующих условия возмещения затрат.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 п</w:t>
      </w:r>
      <w:r>
        <w:rPr>
          <w:rFonts w:ascii="PT Astra Serif" w:hAnsi="PT Astra Serif"/>
          <w:sz w:val="28"/>
          <w:szCs w:val="28"/>
        </w:rPr>
        <w:t xml:space="preserve">редлагается установить дополнительный результат предоставления субсидий, предусматривающий требования к размеру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среднемесячной заработной платы работников получателей</w:t>
      </w:r>
      <w:r>
        <w:rPr>
          <w:rFonts w:ascii="PT Astra Serif" w:hAnsi="PT Astra Serif"/>
          <w:sz w:val="28"/>
          <w:szCs w:val="28"/>
        </w:rPr>
        <w:t xml:space="preserve"> субсидий, в целях эффективного предоставления субсидий.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Application>LibreOffice/6.4.7.2$Linux_X86_64 LibreOffice_project/40$Build-2</Application>
  <Pages>1</Pages>
  <Words>249</Words>
  <Characters>2026</Characters>
  <CharactersWithSpaces>2303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2022-09-26T15:00:07Z</cp:lastPrinted>
  <dcterms:modified xsi:type="dcterms:W3CDTF">2022-09-26T15:00:58Z</dcterms:modified>
  <cp:revision>76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